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8"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w:t>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5, 2026</w:t>
      </w:r>
    </w:p>
    <w:p>
      <w:pPr>
        <w:spacing w:after="0" w:line="168"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ARCUTIS BIOTHERAPEUTICS,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00"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w:t>
      </w:r>
    </w:p>
    <w:p>
      <w:pPr>
        <w:spacing w:after="0" w:line="137"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180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001-39186</w:t>
            </w:r>
          </w:p>
        </w:tc>
        <w:tc>
          <w:tcPr>
            <w:tcW w:w="1660" w:type="dxa"/>
            <w:vAlign w:val="bottom"/>
          </w:tcPr>
          <w:p>
            <w:pPr>
              <w:jc w:val="center"/>
              <w:ind w:left="142"/>
              <w:spacing w:after="0"/>
              <w:rPr>
                <w:sz w:val="20"/>
                <w:szCs w:val="20"/>
                <w:color w:val="auto"/>
              </w:rPr>
            </w:pPr>
            <w:r>
              <w:rPr>
                <w:rFonts w:ascii="Times New Roman" w:cs="Times New Roman" w:eastAsia="Times New Roman" w:hAnsi="Times New Roman"/>
                <w:sz w:val="18"/>
                <w:szCs w:val="18"/>
                <w:b w:val="1"/>
                <w:bCs w:val="1"/>
                <w:color w:val="auto"/>
              </w:rPr>
              <w:t>81-2974255</w:t>
            </w:r>
          </w:p>
        </w:tc>
      </w:tr>
      <w:tr>
        <w:trPr>
          <w:trHeight w:val="205"/>
        </w:trPr>
        <w:tc>
          <w:tcPr>
            <w:tcW w:w="18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60" w:type="dxa"/>
            <w:vAlign w:val="bottom"/>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47"/>
        </w:trPr>
        <w:tc>
          <w:tcPr>
            <w:tcW w:w="180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3027 Townsgate Road, Suite 300</w:t>
            </w:r>
          </w:p>
        </w:tc>
        <w:tc>
          <w:tcPr>
            <w:tcW w:w="1660" w:type="dxa"/>
            <w:vAlign w:val="bottom"/>
          </w:tcPr>
          <w:p>
            <w:pPr>
              <w:spacing w:after="0"/>
              <w:rPr>
                <w:sz w:val="24"/>
                <w:szCs w:val="24"/>
                <w:color w:val="auto"/>
              </w:rPr>
            </w:pPr>
          </w:p>
        </w:tc>
      </w:tr>
      <w:tr>
        <w:trPr>
          <w:trHeight w:val="214"/>
        </w:trPr>
        <w:tc>
          <w:tcPr>
            <w:tcW w:w="1800" w:type="dxa"/>
            <w:vAlign w:val="bottom"/>
          </w:tcPr>
          <w:p>
            <w:pPr>
              <w:spacing w:after="0"/>
              <w:rPr>
                <w:sz w:val="18"/>
                <w:szCs w:val="18"/>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Westlake Village, CA 91361</w:t>
            </w:r>
          </w:p>
        </w:tc>
        <w:tc>
          <w:tcPr>
            <w:tcW w:w="1660" w:type="dxa"/>
            <w:vAlign w:val="bottom"/>
          </w:tcPr>
          <w:p>
            <w:pPr>
              <w:spacing w:after="0"/>
              <w:rPr>
                <w:sz w:val="18"/>
                <w:szCs w:val="18"/>
                <w:color w:val="auto"/>
              </w:rPr>
            </w:pPr>
          </w:p>
        </w:tc>
      </w:tr>
      <w:tr>
        <w:trPr>
          <w:trHeight w:val="190"/>
        </w:trPr>
        <w:tc>
          <w:tcPr>
            <w:tcW w:w="1800" w:type="dxa"/>
            <w:vAlign w:val="bottom"/>
          </w:tcPr>
          <w:p>
            <w:pPr>
              <w:spacing w:after="0"/>
              <w:rPr>
                <w:sz w:val="16"/>
                <w:szCs w:val="16"/>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660" w:type="dxa"/>
            <w:vAlign w:val="bottom"/>
          </w:tcPr>
          <w:p>
            <w:pPr>
              <w:spacing w:after="0"/>
              <w:rPr>
                <w:sz w:val="16"/>
                <w:szCs w:val="16"/>
                <w:color w:val="auto"/>
              </w:rPr>
            </w:pPr>
          </w:p>
        </w:tc>
      </w:tr>
      <w:tr>
        <w:trPr>
          <w:trHeight w:val="442"/>
        </w:trPr>
        <w:tc>
          <w:tcPr>
            <w:tcW w:w="180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(805) 418-5006</w:t>
            </w:r>
          </w:p>
        </w:tc>
        <w:tc>
          <w:tcPr>
            <w:tcW w:w="1660" w:type="dxa"/>
            <w:vAlign w:val="bottom"/>
          </w:tcPr>
          <w:p>
            <w:pPr>
              <w:spacing w:after="0"/>
              <w:rPr>
                <w:sz w:val="24"/>
                <w:szCs w:val="24"/>
                <w:color w:val="auto"/>
              </w:rPr>
            </w:pPr>
          </w:p>
        </w:tc>
      </w:tr>
    </w:tbl>
    <w:p>
      <w:pPr>
        <w:spacing w:after="0" w:line="146"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w:t>
      </w:r>
    </w:p>
    <w:p>
      <w:pPr>
        <w:spacing w:after="0" w:line="22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8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40" w:firstLine="26"/>
        <w:spacing w:after="0" w:line="403" w:lineRule="auto"/>
        <w:tabs>
          <w:tab w:leader="none" w:pos="35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76"/>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90"/>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45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500" w:type="dxa"/>
            <w:vAlign w:val="bottom"/>
            <w:tcBorders>
              <w:bottom w:val="single" w:sz="8" w:color="auto"/>
            </w:tcBorders>
          </w:tcPr>
          <w:p>
            <w:pPr>
              <w:spacing w:after="0"/>
              <w:rPr>
                <w:sz w:val="3"/>
                <w:szCs w:val="3"/>
                <w:color w:val="auto"/>
              </w:rPr>
            </w:pPr>
          </w:p>
        </w:tc>
      </w:tr>
      <w:tr>
        <w:trPr>
          <w:trHeight w:val="237"/>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ARQT</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bl>
    <w:p>
      <w:pPr>
        <w:spacing w:after="0" w:line="225"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 230.405 of this chapter) or Rule 12b-2 of the Securities Exchange Act of 1934 (§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5, 2026, Arcutis Biotherapeutics, Inc. (the “Company”) held its 2026 Annual Meeting of Stockholders (the “Annual Meeting”). At the Annual Meeting, the Company’s stockholders voted on three proposals, each of which is described in more detail in the Company’s definitive proxy statement on Schedule 14A filed with the Securities and Exchange Commission on April 21, 2026. Only stockholders of record as of the close of business on April 8, 2026, the record date for the Annual Meeting, were entitled to vote at the Annual Meeting. As of the record date, 125,073,249 shares of the Company’s common stock were outstanding and entitled to vote at the Annual Meeting. All matters voted on at the Annual Meeting were approved. The tabulation of the stockholder votes on each proposal brought before the Annual Meeting is as follows:</w:t>
      </w:r>
    </w:p>
    <w:p>
      <w:pPr>
        <w:spacing w:after="0" w:line="12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Proposal 1. The election of three Class III directors to hold office until the 2029 annual meeting of stockholders or until their respective successors are elected: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Votes for</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withheld</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8"/>
        </w:trPr>
        <w:tc>
          <w:tcPr>
            <w:tcW w:w="3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Patrick J. Heron</w:t>
            </w:r>
          </w:p>
        </w:tc>
        <w:tc>
          <w:tcPr>
            <w:tcW w:w="100" w:type="dxa"/>
            <w:vAlign w:val="bottom"/>
          </w:tcPr>
          <w:p>
            <w:pPr>
              <w:spacing w:after="0"/>
              <w:rPr>
                <w:sz w:val="18"/>
                <w:szCs w:val="18"/>
                <w:color w:val="auto"/>
              </w:rPr>
            </w:pPr>
          </w:p>
        </w:tc>
        <w:tc>
          <w:tcPr>
            <w:tcW w:w="2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62,830,439</w:t>
            </w:r>
          </w:p>
        </w:tc>
        <w:tc>
          <w:tcPr>
            <w:tcW w:w="100" w:type="dxa"/>
            <w:vAlign w:val="bottom"/>
          </w:tcPr>
          <w:p>
            <w:pPr>
              <w:spacing w:after="0"/>
              <w:rPr>
                <w:sz w:val="18"/>
                <w:szCs w:val="18"/>
                <w:color w:val="auto"/>
              </w:rPr>
            </w:pPr>
          </w:p>
        </w:tc>
        <w:tc>
          <w:tcPr>
            <w:tcW w:w="2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30,446,098</w:t>
            </w:r>
          </w:p>
        </w:tc>
        <w:tc>
          <w:tcPr>
            <w:tcW w:w="100" w:type="dxa"/>
            <w:vAlign w:val="bottom"/>
          </w:tcPr>
          <w:p>
            <w:pPr>
              <w:spacing w:after="0"/>
              <w:rPr>
                <w:sz w:val="18"/>
                <w:szCs w:val="18"/>
                <w:color w:val="auto"/>
              </w:rPr>
            </w:pPr>
          </w:p>
        </w:tc>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14,868,017</w:t>
            </w:r>
          </w:p>
        </w:tc>
      </w:tr>
      <w:tr>
        <w:trPr>
          <w:trHeight w:val="230"/>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Neha Krishnamohan</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74,956,903</w:t>
            </w:r>
          </w:p>
        </w:tc>
        <w:tc>
          <w:tcPr>
            <w:tcW w:w="10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18,319,634</w:t>
            </w:r>
          </w:p>
        </w:tc>
        <w:tc>
          <w:tcPr>
            <w:tcW w:w="10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14,868,017</w:t>
            </w:r>
          </w:p>
        </w:tc>
      </w:tr>
      <w:tr>
        <w:trPr>
          <w:trHeight w:val="234"/>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Todd Franklin Watanabe</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75,771,853</w:t>
            </w:r>
          </w:p>
        </w:tc>
        <w:tc>
          <w:tcPr>
            <w:tcW w:w="10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17,504,684</w:t>
            </w:r>
          </w:p>
        </w:tc>
        <w:tc>
          <w:tcPr>
            <w:tcW w:w="10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14,868,017</w:t>
            </w:r>
          </w:p>
        </w:tc>
      </w:tr>
    </w:tbl>
    <w:p>
      <w:pPr>
        <w:spacing w:after="0" w:line="21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Proposal 2. The ratification of the selection, by the Audit Committee of the Board of Directors, of Ernst &amp; Young LLP, as the independent registered public accounting firm of the Company for the fiscal year ending December 31, 2026: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Votes for</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r>
      <w:tr>
        <w:trPr>
          <w:trHeight w:val="228"/>
        </w:trPr>
        <w:tc>
          <w:tcPr>
            <w:tcW w:w="2720" w:type="dxa"/>
            <w:vAlign w:val="bottom"/>
            <w:tcBorders>
              <w:top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107,867,442</w:t>
            </w:r>
          </w:p>
        </w:tc>
        <w:tc>
          <w:tcPr>
            <w:tcW w:w="100" w:type="dxa"/>
            <w:vAlign w:val="bottom"/>
          </w:tcPr>
          <w:p>
            <w:pPr>
              <w:spacing w:after="0"/>
              <w:rPr>
                <w:sz w:val="19"/>
                <w:szCs w:val="19"/>
                <w:color w:val="auto"/>
              </w:rPr>
            </w:pPr>
          </w:p>
        </w:tc>
        <w:tc>
          <w:tcPr>
            <w:tcW w:w="2720" w:type="dxa"/>
            <w:vAlign w:val="bottom"/>
            <w:tcBorders>
              <w:top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15,748</w:t>
            </w:r>
          </w:p>
        </w:tc>
        <w:tc>
          <w:tcPr>
            <w:tcW w:w="100" w:type="dxa"/>
            <w:vAlign w:val="bottom"/>
          </w:tcPr>
          <w:p>
            <w:pPr>
              <w:spacing w:after="0"/>
              <w:rPr>
                <w:sz w:val="19"/>
                <w:szCs w:val="19"/>
                <w:color w:val="auto"/>
              </w:rPr>
            </w:pPr>
          </w:p>
        </w:tc>
        <w:tc>
          <w:tcPr>
            <w:tcW w:w="2740" w:type="dxa"/>
            <w:vAlign w:val="bottom"/>
            <w:tcBorders>
              <w:top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261,364</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3. Approval, on a non-binding advisory basis of the compensation of the Company’s named executive officers: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Votes 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8"/>
        </w:trPr>
        <w:tc>
          <w:tcPr>
            <w:tcW w:w="2740" w:type="dxa"/>
            <w:vAlign w:val="bottom"/>
            <w:tcBorders>
              <w:top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88,728,269</w:t>
            </w:r>
          </w:p>
        </w:tc>
        <w:tc>
          <w:tcPr>
            <w:tcW w:w="80" w:type="dxa"/>
            <w:vAlign w:val="bottom"/>
          </w:tcPr>
          <w:p>
            <w:pPr>
              <w:spacing w:after="0"/>
              <w:rPr>
                <w:sz w:val="19"/>
                <w:szCs w:val="19"/>
                <w:color w:val="auto"/>
              </w:rPr>
            </w:pPr>
          </w:p>
        </w:tc>
        <w:tc>
          <w:tcPr>
            <w:tcW w:w="274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3,723,408</w:t>
            </w:r>
          </w:p>
        </w:tc>
        <w:tc>
          <w:tcPr>
            <w:tcW w:w="100" w:type="dxa"/>
            <w:vAlign w:val="bottom"/>
          </w:tcPr>
          <w:p>
            <w:pPr>
              <w:spacing w:after="0"/>
              <w:rPr>
                <w:sz w:val="19"/>
                <w:szCs w:val="19"/>
                <w:color w:val="auto"/>
              </w:rPr>
            </w:pPr>
          </w:p>
        </w:tc>
        <w:tc>
          <w:tcPr>
            <w:tcW w:w="2740" w:type="dxa"/>
            <w:vAlign w:val="bottom"/>
            <w:tcBorders>
              <w:top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824,860</w:t>
            </w:r>
          </w:p>
        </w:tc>
        <w:tc>
          <w:tcPr>
            <w:tcW w:w="100" w:type="dxa"/>
            <w:vAlign w:val="bottom"/>
          </w:tcPr>
          <w:p>
            <w:pPr>
              <w:spacing w:after="0"/>
              <w:rPr>
                <w:sz w:val="19"/>
                <w:szCs w:val="19"/>
                <w:color w:val="auto"/>
              </w:rPr>
            </w:pPr>
          </w:p>
        </w:tc>
        <w:tc>
          <w:tcPr>
            <w:tcW w:w="2740" w:type="dxa"/>
            <w:vAlign w:val="bottom"/>
            <w:tcBorders>
              <w:top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14,868,017</w:t>
            </w:r>
          </w:p>
        </w:tc>
      </w:tr>
    </w:tbl>
    <w:p>
      <w:pPr>
        <w:spacing w:after="0" w:line="20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148"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As part of a regular review of the corporate governance practices of the Company and in an effort to continue to attract and retain qualified members of the Company’s Board of Directors (the “Board”), which includes compensating eligible non-employee directors appropriately for their services, the Compensation Committee of the Board recommended to the Board, and the Board approved, revisions to the Arcutis Biotherapeutics, Inc. Amended and Restated Non-Employee Director Compensation Program (the “A&amp;R Program”), which provides annual cash and equity compensation on the terms and conditions contained therein. The A&amp;R Program became effective as of the Annual Meeting.</w:t>
      </w:r>
    </w:p>
    <w:p>
      <w:pPr>
        <w:spacing w:after="0" w:line="11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A&amp;R Program is only a summary and is qualified in its entirety by the full text of the A&amp;R Program, which is filed as Exhibit 10.1 to this Current Report on Form 8-K and is incorporated by reference herein.</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840" w:type="dxa"/>
            <w:vAlign w:val="bottom"/>
          </w:tcPr>
          <w:p>
            <w:pPr>
              <w:spacing w:after="0"/>
              <w:rPr>
                <w:sz w:val="18"/>
                <w:szCs w:val="18"/>
                <w:color w:val="auto"/>
              </w:rPr>
            </w:pPr>
          </w:p>
        </w:tc>
        <w:tc>
          <w:tcPr>
            <w:tcW w:w="3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1440" w:type="dxa"/>
            <w:vAlign w:val="bottom"/>
          </w:tcPr>
          <w:p>
            <w:pPr>
              <w:spacing w:after="0"/>
              <w:rPr>
                <w:sz w:val="18"/>
                <w:szCs w:val="18"/>
                <w:color w:val="auto"/>
              </w:rPr>
            </w:pPr>
          </w:p>
        </w:tc>
        <w:tc>
          <w:tcPr>
            <w:tcW w:w="52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Amended and Restated Non-Employee Director Compensation Program</w:t>
            </w:r>
          </w:p>
        </w:tc>
        <w:tc>
          <w:tcPr>
            <w:tcW w:w="3440" w:type="dxa"/>
            <w:vAlign w:val="bottom"/>
          </w:tcPr>
          <w:p>
            <w:pPr>
              <w:spacing w:after="0"/>
              <w:rPr>
                <w:sz w:val="18"/>
                <w:szCs w:val="18"/>
                <w:color w:val="auto"/>
              </w:rPr>
            </w:pPr>
          </w:p>
        </w:tc>
      </w:tr>
      <w:tr>
        <w:trPr>
          <w:trHeight w:val="250"/>
        </w:trPr>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40" w:type="dxa"/>
            <w:vAlign w:val="bottom"/>
          </w:tcPr>
          <w:p>
            <w:pPr>
              <w:spacing w:after="0"/>
              <w:rPr>
                <w:sz w:val="21"/>
                <w:szCs w:val="21"/>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891"/>
        </w:trPr>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0" w:type="dxa"/>
            <w:vAlign w:val="bottom"/>
          </w:tcPr>
          <w:p>
            <w:pPr>
              <w:jc w:val="right"/>
              <w:ind w:right="2050"/>
              <w:spacing w:after="0"/>
              <w:rPr>
                <w:sz w:val="20"/>
                <w:szCs w:val="20"/>
                <w:color w:val="auto"/>
              </w:rPr>
            </w:pPr>
            <w:r>
              <w:rPr>
                <w:rFonts w:ascii="Times New Roman" w:cs="Times New Roman" w:eastAsia="Times New Roman" w:hAnsi="Times New Roman"/>
                <w:sz w:val="18"/>
                <w:szCs w:val="18"/>
                <w:color w:val="auto"/>
              </w:rPr>
              <w:t>2</w:t>
            </w:r>
          </w:p>
        </w:tc>
        <w:tc>
          <w:tcPr>
            <w:tcW w:w="3440" w:type="dxa"/>
            <w:vAlign w:val="bottom"/>
          </w:tcPr>
          <w:p>
            <w:pPr>
              <w:spacing w:after="0"/>
              <w:rPr>
                <w:sz w:val="24"/>
                <w:szCs w:val="24"/>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ARCUTIS BIOTHERAPEUTICS, INC.</w:t>
      </w:r>
    </w:p>
    <w:p>
      <w:pPr>
        <w:spacing w:after="0" w:line="108" w:lineRule="exact"/>
        <w:rPr>
          <w:sz w:val="20"/>
          <w:szCs w:val="20"/>
          <w:color w:val="auto"/>
        </w:rPr>
      </w:pPr>
    </w:p>
    <w:p>
      <w:pPr>
        <w:ind w:left="3120"/>
        <w:spacing w:after="0"/>
        <w:tabs>
          <w:tab w:leader="none" w:pos="5360" w:val="left"/>
          <w:tab w:leader="none" w:pos="5820" w:val="left"/>
        </w:tabs>
        <w:rPr>
          <w:sz w:val="20"/>
          <w:szCs w:val="20"/>
          <w:color w:val="auto"/>
        </w:rPr>
      </w:pPr>
      <w:r>
        <w:rPr>
          <w:rFonts w:ascii="Times New Roman" w:cs="Times New Roman" w:eastAsia="Times New Roman" w:hAnsi="Times New Roman"/>
          <w:sz w:val="18"/>
          <w:szCs w:val="18"/>
          <w:color w:val="auto"/>
        </w:rPr>
        <w:t>Date: June 09,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Latha Vairavan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43180</wp:posOffset>
            </wp:positionV>
            <wp:extent cx="2983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Latha Vairavan</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320" w:top="887" w:right="699" w:bottom="1440" w:gutter="0" w:footer="0" w:header="0"/>
        </w:sectPr>
      </w:pPr>
    </w:p>
    <w:bookmarkStart w:id="3" w:name="page4"/>
    <w:bookmarkEnd w:id="3"/>
    <w:p>
      <w:pPr>
        <w:ind w:left="10220"/>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ARCUTIS BIOTHERAPEUTICS,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AMENDED AND RESTATED NON-EMPLOYEE DIRECTOR COMPENSATION PROGRAM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Arcutis Biotherapeutics,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Amended and Restated Non-Employee Director Compensation Program (this</w:t>
      </w:r>
    </w:p>
    <w:p>
      <w:pPr>
        <w:spacing w:after="0" w:line="32" w:lineRule="exact"/>
        <w:rPr>
          <w:sz w:val="20"/>
          <w:szCs w:val="20"/>
          <w:color w:val="auto"/>
        </w:rPr>
      </w:pPr>
    </w:p>
    <w:p>
      <w:pPr>
        <w:jc w:val="both"/>
        <w:ind w:right="100"/>
        <w:spacing w:after="0" w:line="27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Program</w:t>
      </w:r>
      <w:r>
        <w:rPr>
          <w:rFonts w:ascii="Times New Roman" w:cs="Times New Roman" w:eastAsia="Times New Roman" w:hAnsi="Times New Roman"/>
          <w:sz w:val="19"/>
          <w:szCs w:val="19"/>
          <w:color w:val="auto"/>
        </w:rPr>
        <w:t>”) has been adopted under the Company’s 2020 Equity Incentive Plan (the “</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and shall be effective, as amended and restated herein, as of June 5, 2026 (the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 Capitalized terms not otherwise defined herein shall have the meaning ascribed in the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Compensation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Effective upon the Effective Date, annual retainers will be paid in the following amounts to Non-Employee Directors: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Board Service</w:t>
      </w:r>
    </w:p>
    <w:p>
      <w:pPr>
        <w:spacing w:after="0" w:line="47"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6780" w:type="dxa"/>
            <w:vAlign w:val="bottom"/>
            <w:tcBorders>
              <w:top w:val="single" w:sz="8" w:color="auto"/>
              <w:lef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Non-Employee Director</w:t>
            </w:r>
          </w:p>
        </w:tc>
        <w:tc>
          <w:tcPr>
            <w:tcW w:w="1080" w:type="dxa"/>
            <w:vAlign w:val="bottom"/>
            <w:tcBorders>
              <w:top w:val="single" w:sz="8" w:color="auto"/>
            </w:tcBorders>
          </w:tcPr>
          <w:p>
            <w:pPr>
              <w:spacing w:after="0"/>
              <w:rPr>
                <w:sz w:val="24"/>
                <w:szCs w:val="24"/>
                <w:color w:val="auto"/>
              </w:rPr>
            </w:pPr>
          </w:p>
        </w:tc>
        <w:tc>
          <w:tcPr>
            <w:tcW w:w="1220" w:type="dxa"/>
            <w:vAlign w:val="bottom"/>
            <w:tcBorders>
              <w:top w:val="single" w:sz="8" w:color="auto"/>
              <w:right w:val="single" w:sz="8" w:color="auto"/>
            </w:tcBorders>
          </w:tcPr>
          <w:p>
            <w:pPr>
              <w:spacing w:after="0"/>
              <w:rPr>
                <w:sz w:val="24"/>
                <w:szCs w:val="24"/>
                <w:color w:val="auto"/>
              </w:rPr>
            </w:pPr>
          </w:p>
        </w:tc>
        <w:tc>
          <w:tcPr>
            <w:tcW w:w="1220" w:type="dxa"/>
            <w:vAlign w:val="bottom"/>
            <w:tcBorders>
              <w:top w:val="single" w:sz="8" w:color="auto"/>
            </w:tcBorders>
          </w:tcPr>
          <w:p>
            <w:pPr>
              <w:jc w:val="right"/>
              <w:ind w:right="1021"/>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50,000</w:t>
            </w:r>
          </w:p>
        </w:tc>
      </w:tr>
      <w:tr>
        <w:trPr>
          <w:trHeight w:val="183"/>
        </w:trPr>
        <w:tc>
          <w:tcPr>
            <w:tcW w:w="6780" w:type="dxa"/>
            <w:vAlign w:val="bottom"/>
            <w:tcBorders>
              <w:left w:val="single" w:sz="8" w:color="auto"/>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r>
      <w:tr>
        <w:trPr>
          <w:trHeight w:val="553"/>
        </w:trPr>
        <w:tc>
          <w:tcPr>
            <w:tcW w:w="67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Additional Board Service</w:t>
            </w: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5"/>
        </w:trPr>
        <w:tc>
          <w:tcPr>
            <w:tcW w:w="67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69"/>
        </w:trPr>
        <w:tc>
          <w:tcPr>
            <w:tcW w:w="678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Non-Executive Chair</w:t>
            </w:r>
          </w:p>
        </w:tc>
        <w:tc>
          <w:tcPr>
            <w:tcW w:w="1080" w:type="dxa"/>
            <w:vAlign w:val="bottom"/>
          </w:tcPr>
          <w:p>
            <w:pPr>
              <w:spacing w:after="0"/>
              <w:rPr>
                <w:sz w:val="23"/>
                <w:szCs w:val="23"/>
                <w:color w:val="auto"/>
              </w:rPr>
            </w:pPr>
          </w:p>
        </w:tc>
        <w:tc>
          <w:tcPr>
            <w:tcW w:w="1220" w:type="dxa"/>
            <w:vAlign w:val="bottom"/>
            <w:tcBorders>
              <w:right w:val="single" w:sz="8" w:color="auto"/>
            </w:tcBorders>
          </w:tcPr>
          <w:p>
            <w:pPr>
              <w:spacing w:after="0"/>
              <w:rPr>
                <w:sz w:val="23"/>
                <w:szCs w:val="23"/>
                <w:color w:val="auto"/>
              </w:rPr>
            </w:pPr>
          </w:p>
        </w:tc>
        <w:tc>
          <w:tcPr>
            <w:tcW w:w="1220" w:type="dxa"/>
            <w:vAlign w:val="bottom"/>
          </w:tcPr>
          <w:p>
            <w:pPr>
              <w:jc w:val="right"/>
              <w:ind w:right="1021"/>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40,000</w:t>
            </w:r>
          </w:p>
        </w:tc>
      </w:tr>
      <w:tr>
        <w:trPr>
          <w:trHeight w:val="183"/>
        </w:trPr>
        <w:tc>
          <w:tcPr>
            <w:tcW w:w="6780" w:type="dxa"/>
            <w:vAlign w:val="bottom"/>
            <w:tcBorders>
              <w:left w:val="single" w:sz="8" w:color="auto"/>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r>
      <w:tr>
        <w:trPr>
          <w:trHeight w:val="566"/>
        </w:trPr>
        <w:tc>
          <w:tcPr>
            <w:tcW w:w="67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Additional Committee Service</w:t>
            </w: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
        </w:trPr>
        <w:tc>
          <w:tcPr>
            <w:tcW w:w="6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70"/>
        </w:trPr>
        <w:tc>
          <w:tcPr>
            <w:tcW w:w="6780" w:type="dxa"/>
            <w:vAlign w:val="bottom"/>
            <w:tcBorders>
              <w:right w:val="single" w:sz="8" w:color="auto"/>
            </w:tcBorders>
          </w:tcPr>
          <w:p>
            <w:pPr>
              <w:spacing w:after="0"/>
              <w:rPr>
                <w:sz w:val="23"/>
                <w:szCs w:val="23"/>
                <w:color w:val="auto"/>
              </w:rPr>
            </w:pPr>
          </w:p>
        </w:tc>
        <w:tc>
          <w:tcPr>
            <w:tcW w:w="108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rPr>
              <w:t>Chair</w:t>
            </w:r>
          </w:p>
        </w:tc>
        <w:tc>
          <w:tcPr>
            <w:tcW w:w="1220" w:type="dxa"/>
            <w:vAlign w:val="bottom"/>
            <w:tcBorders>
              <w:right w:val="single" w:sz="8" w:color="auto"/>
            </w:tcBorders>
          </w:tcPr>
          <w:p>
            <w:pPr>
              <w:spacing w:after="0"/>
              <w:rPr>
                <w:sz w:val="23"/>
                <w:szCs w:val="23"/>
                <w:color w:val="auto"/>
              </w:rPr>
            </w:pPr>
          </w:p>
        </w:tc>
        <w:tc>
          <w:tcPr>
            <w:tcW w:w="122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Non-Chair</w:t>
            </w:r>
          </w:p>
        </w:tc>
        <w:tc>
          <w:tcPr>
            <w:tcW w:w="960" w:type="dxa"/>
            <w:vAlign w:val="bottom"/>
            <w:tcBorders>
              <w:right w:val="single" w:sz="8" w:color="auto"/>
            </w:tcBorders>
          </w:tcPr>
          <w:p>
            <w:pPr>
              <w:spacing w:after="0"/>
              <w:rPr>
                <w:sz w:val="23"/>
                <w:szCs w:val="23"/>
                <w:color w:val="auto"/>
              </w:rPr>
            </w:pPr>
          </w:p>
        </w:tc>
      </w:tr>
      <w:tr>
        <w:trPr>
          <w:trHeight w:val="183"/>
        </w:trPr>
        <w:tc>
          <w:tcPr>
            <w:tcW w:w="678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r>
      <w:tr>
        <w:trPr>
          <w:trHeight w:val="270"/>
        </w:trPr>
        <w:tc>
          <w:tcPr>
            <w:tcW w:w="6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Audit Committee Member</w:t>
            </w:r>
          </w:p>
        </w:tc>
        <w:tc>
          <w:tcPr>
            <w:tcW w:w="1080" w:type="dxa"/>
            <w:vAlign w:val="bottom"/>
          </w:tcPr>
          <w:p>
            <w:pPr>
              <w:jc w:val="right"/>
              <w:ind w:right="861"/>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20,000</w:t>
            </w:r>
          </w:p>
        </w:tc>
        <w:tc>
          <w:tcPr>
            <w:tcW w:w="1220" w:type="dxa"/>
            <w:vAlign w:val="bottom"/>
          </w:tcPr>
          <w:p>
            <w:pPr>
              <w:jc w:val="right"/>
              <w:ind w:right="1021"/>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10,000</w:t>
            </w:r>
          </w:p>
        </w:tc>
      </w:tr>
      <w:tr>
        <w:trPr>
          <w:trHeight w:val="183"/>
        </w:trPr>
        <w:tc>
          <w:tcPr>
            <w:tcW w:w="6780" w:type="dxa"/>
            <w:vAlign w:val="bottom"/>
            <w:tcBorders>
              <w:left w:val="single" w:sz="8" w:color="auto"/>
              <w:bottom w:val="single" w:sz="8" w:color="auto"/>
              <w:right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r>
      <w:tr>
        <w:trPr>
          <w:trHeight w:val="270"/>
        </w:trPr>
        <w:tc>
          <w:tcPr>
            <w:tcW w:w="6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Compensation Committee Member</w:t>
            </w:r>
          </w:p>
        </w:tc>
        <w:tc>
          <w:tcPr>
            <w:tcW w:w="1080" w:type="dxa"/>
            <w:vAlign w:val="bottom"/>
          </w:tcPr>
          <w:p>
            <w:pPr>
              <w:jc w:val="right"/>
              <w:ind w:right="861"/>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18,000</w:t>
            </w:r>
          </w:p>
        </w:tc>
        <w:tc>
          <w:tcPr>
            <w:tcW w:w="1220" w:type="dxa"/>
            <w:vAlign w:val="bottom"/>
          </w:tcPr>
          <w:p>
            <w:pPr>
              <w:jc w:val="right"/>
              <w:ind w:right="1021"/>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9,000</w:t>
            </w:r>
          </w:p>
        </w:tc>
      </w:tr>
      <w:tr>
        <w:trPr>
          <w:trHeight w:val="183"/>
        </w:trPr>
        <w:tc>
          <w:tcPr>
            <w:tcW w:w="6780" w:type="dxa"/>
            <w:vAlign w:val="bottom"/>
            <w:tcBorders>
              <w:left w:val="single" w:sz="8" w:color="auto"/>
              <w:bottom w:val="single" w:sz="8" w:color="auto"/>
              <w:right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r>
      <w:tr>
        <w:trPr>
          <w:trHeight w:val="270"/>
        </w:trPr>
        <w:tc>
          <w:tcPr>
            <w:tcW w:w="6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Nominating and Corporate Governance Committee Member</w:t>
            </w:r>
          </w:p>
        </w:tc>
        <w:tc>
          <w:tcPr>
            <w:tcW w:w="1080" w:type="dxa"/>
            <w:vAlign w:val="bottom"/>
          </w:tcPr>
          <w:p>
            <w:pPr>
              <w:jc w:val="right"/>
              <w:ind w:right="861"/>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10,000</w:t>
            </w:r>
          </w:p>
        </w:tc>
        <w:tc>
          <w:tcPr>
            <w:tcW w:w="1220" w:type="dxa"/>
            <w:vAlign w:val="bottom"/>
          </w:tcPr>
          <w:p>
            <w:pPr>
              <w:jc w:val="right"/>
              <w:ind w:right="1021"/>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5,000</w:t>
            </w:r>
          </w:p>
        </w:tc>
      </w:tr>
      <w:tr>
        <w:trPr>
          <w:trHeight w:val="183"/>
        </w:trPr>
        <w:tc>
          <w:tcPr>
            <w:tcW w:w="6780" w:type="dxa"/>
            <w:vAlign w:val="bottom"/>
            <w:tcBorders>
              <w:left w:val="single" w:sz="8" w:color="auto"/>
              <w:bottom w:val="single" w:sz="8" w:color="auto"/>
              <w:right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r>
    </w:tbl>
    <w:p>
      <w:pPr>
        <w:spacing w:after="0" w:line="31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All annual retainers will be additive and paid in cash quarterly in arrears promptly following the end of the applicable calendar quarter, but in no event more than 30 days after the end of such quarter. If a Non-Employee Director does not serve as a Non-Employee Director, or in the applicable positions described above, for an entire calendar quarter, the retainer paid to such Non-Employee Director shall be prorated for the portion of such calendar quarter actually served as a Non-Employee Director, or in such position, as applicable.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 Compensation</w:t>
      </w:r>
    </w:p>
    <w:p>
      <w:pPr>
        <w:sectPr>
          <w:pgSz w:w="11900" w:h="16838" w:orient="portrait"/>
          <w:cols w:equalWidth="0" w:num="1">
            <w:col w:w="11260"/>
          </w:cols>
          <w:pgMar w:left="320" w:top="100" w:right="319" w:bottom="1440" w:gutter="0" w:footer="0" w:header="0"/>
        </w:sectPr>
      </w:pPr>
    </w:p>
    <w:bookmarkStart w:id="4" w:name="page5"/>
    <w:bookmarkEnd w:id="4"/>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Initial Equity Award</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Unless otherwise approved by the Board prior to commencement of services of an applicable Non-Employee Director following the Effective Date, each Non-Employee Director who is initially elected or appointed to serve on the Board shall be granted an option to purchase the greatest number of whole shares of Common Stock (the “</w:t>
      </w:r>
      <w:r>
        <w:rPr>
          <w:rFonts w:ascii="Times New Roman" w:cs="Times New Roman" w:eastAsia="Times New Roman" w:hAnsi="Times New Roman"/>
          <w:sz w:val="19"/>
          <w:szCs w:val="19"/>
          <w:b w:val="1"/>
          <w:bCs w:val="1"/>
          <w:i w:val="1"/>
          <w:iCs w:val="1"/>
          <w:color w:val="auto"/>
        </w:rPr>
        <w:t>Initial Option</w:t>
      </w:r>
      <w:r>
        <w:rPr>
          <w:rFonts w:ascii="Times New Roman" w:cs="Times New Roman" w:eastAsia="Times New Roman" w:hAnsi="Times New Roman"/>
          <w:sz w:val="19"/>
          <w:szCs w:val="19"/>
          <w:color w:val="auto"/>
        </w:rPr>
        <w:t>”) having a Grant Date Fair Value equal to or less than $350,000. For purposes hereof, “</w:t>
      </w:r>
      <w:r>
        <w:rPr>
          <w:rFonts w:ascii="Times New Roman" w:cs="Times New Roman" w:eastAsia="Times New Roman" w:hAnsi="Times New Roman"/>
          <w:sz w:val="19"/>
          <w:szCs w:val="19"/>
          <w:b w:val="1"/>
          <w:bCs w:val="1"/>
          <w:i w:val="1"/>
          <w:iCs w:val="1"/>
          <w:color w:val="auto"/>
        </w:rPr>
        <w:t>Grant Date Fair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Value</w:t>
      </w:r>
      <w:r>
        <w:rPr>
          <w:rFonts w:ascii="Times New Roman" w:cs="Times New Roman" w:eastAsia="Times New Roman" w:hAnsi="Times New Roman"/>
          <w:sz w:val="19"/>
          <w:szCs w:val="19"/>
          <w:color w:val="auto"/>
        </w:rPr>
        <w:t>” means the fair value of an award as of the date of grant as determined in accordance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with ASC Topic 718, “Share-Based Payment”, using the Black-Scholes pricing model and the valuation assumptions used by the Company in accounting for options (or restricted stock units, as applicable) as of such date of grant, except that, in lieu of using the closing trading price as of the date of grant (or the immediately preceding trading day) for the value of Common Stock in such calculation, the value of Common Stock used in determining Grant Date Fair Value shall be equal to the average closing trading price of a share of Common Stock over the 30 trading days immediately preceding, but excluding, the date of grant.</w:t>
      </w:r>
    </w:p>
    <w:p>
      <w:pPr>
        <w:spacing w:after="0" w:line="200" w:lineRule="exact"/>
        <w:rPr>
          <w:sz w:val="20"/>
          <w:szCs w:val="20"/>
          <w:color w:val="auto"/>
        </w:rPr>
      </w:pPr>
    </w:p>
    <w:p>
      <w:pPr>
        <w:sectPr>
          <w:pgSz w:w="11900" w:h="16838" w:orient="portrait"/>
          <w:cols w:equalWidth="0" w:num="2">
            <w:col w:w="2940" w:space="720"/>
            <w:col w:w="7400"/>
          </w:cols>
          <w:pgMar w:left="400" w:top="1440" w:right="439" w:bottom="1440" w:gutter="0" w:footer="0" w:header="0"/>
        </w:sectPr>
      </w:pPr>
    </w:p>
    <w:p>
      <w:pPr>
        <w:spacing w:after="0" w:line="10" w:lineRule="exact"/>
        <w:rPr>
          <w:sz w:val="20"/>
          <w:szCs w:val="20"/>
          <w:color w:val="auto"/>
        </w:rPr>
      </w:pPr>
    </w:p>
    <w:p>
      <w:pPr>
        <w:ind w:left="3660" w:right="100"/>
        <w:spacing w:after="0" w:line="270" w:lineRule="auto"/>
        <w:rPr>
          <w:sz w:val="20"/>
          <w:szCs w:val="20"/>
          <w:color w:val="auto"/>
        </w:rPr>
      </w:pPr>
      <w:r>
        <w:rPr>
          <w:rFonts w:ascii="Times New Roman" w:cs="Times New Roman" w:eastAsia="Times New Roman" w:hAnsi="Times New Roman"/>
          <w:sz w:val="19"/>
          <w:szCs w:val="19"/>
          <w:color w:val="auto"/>
        </w:rPr>
        <w:t>The Initial Option will be automatically granted on the date on which such Non-Employee Director commences service on the Board, and will vest as to one-third of the shares subject thereto on each anniversary of the applicable grant date such that the shares subject to the Initial Option are fully vested on the third anniversary of the grant date, subject to the Non-Employee Director continuing in service on the Board through each such vesting date.</w:t>
      </w:r>
    </w:p>
    <w:p>
      <w:pPr>
        <w:sectPr>
          <w:pgSz w:w="11900" w:h="16838" w:orient="portrait"/>
          <w:cols w:equalWidth="0" w:num="1">
            <w:col w:w="11060"/>
          </w:cols>
          <w:pgMar w:left="400" w:top="1440" w:right="439" w:bottom="1440" w:gutter="0" w:footer="0" w:header="0"/>
          <w:type w:val="continuous"/>
        </w:sectPr>
      </w:pPr>
    </w:p>
    <w:bookmarkStart w:id="5" w:name="page6"/>
    <w:bookmarkEnd w:id="5"/>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243"/>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auto"/>
              </w:rPr>
              <w:t>Annual Equity Award</w:t>
            </w:r>
          </w:p>
        </w:tc>
        <w:tc>
          <w:tcPr>
            <w:tcW w:w="83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Each Non-Employee Director who will continue or begin to serve as a Non-Employee</w:t>
            </w:r>
          </w:p>
        </w:tc>
      </w:tr>
      <w:tr>
        <w:trPr>
          <w:trHeight w:val="225"/>
        </w:trPr>
        <w:tc>
          <w:tcPr>
            <w:tcW w:w="2700" w:type="dxa"/>
            <w:vAlign w:val="bottom"/>
          </w:tcPr>
          <w:p>
            <w:pPr>
              <w:spacing w:after="0"/>
              <w:rPr>
                <w:sz w:val="19"/>
                <w:szCs w:val="19"/>
                <w:color w:val="auto"/>
              </w:rPr>
            </w:pPr>
          </w:p>
        </w:tc>
        <w:tc>
          <w:tcPr>
            <w:tcW w:w="8340" w:type="dxa"/>
            <w:vAlign w:val="bottom"/>
          </w:tcPr>
          <w:p>
            <w:pPr>
              <w:ind w:left="960"/>
              <w:spacing w:after="0" w:line="226" w:lineRule="exact"/>
              <w:rPr>
                <w:sz w:val="20"/>
                <w:szCs w:val="20"/>
                <w:color w:val="auto"/>
              </w:rPr>
            </w:pPr>
            <w:r>
              <w:rPr>
                <w:rFonts w:ascii="Times New Roman" w:cs="Times New Roman" w:eastAsia="Times New Roman" w:hAnsi="Times New Roman"/>
                <w:sz w:val="20"/>
                <w:szCs w:val="20"/>
                <w:color w:val="auto"/>
              </w:rPr>
              <w:t>Director immediately following each annual meeting of the Company’s stockholders (each,</w:t>
            </w:r>
          </w:p>
        </w:tc>
      </w:tr>
      <w:tr>
        <w:trPr>
          <w:trHeight w:val="243"/>
        </w:trPr>
        <w:tc>
          <w:tcPr>
            <w:tcW w:w="2700" w:type="dxa"/>
            <w:vAlign w:val="bottom"/>
          </w:tcPr>
          <w:p>
            <w:pPr>
              <w:spacing w:after="0"/>
              <w:rPr>
                <w:sz w:val="21"/>
                <w:szCs w:val="21"/>
                <w:color w:val="auto"/>
              </w:rPr>
            </w:pPr>
          </w:p>
        </w:tc>
        <w:tc>
          <w:tcPr>
            <w:tcW w:w="8340" w:type="dxa"/>
            <w:vAlign w:val="bottom"/>
          </w:tcPr>
          <w:p>
            <w:pPr>
              <w:ind w:left="960"/>
              <w:spacing w:after="0"/>
              <w:rPr>
                <w:sz w:val="20"/>
                <w:szCs w:val="20"/>
                <w:color w:val="auto"/>
              </w:rPr>
            </w:pPr>
            <w:r>
              <w:rPr>
                <w:rFonts w:ascii="Times New Roman" w:cs="Times New Roman" w:eastAsia="Times New Roman" w:hAnsi="Times New Roman"/>
                <w:sz w:val="20"/>
                <w:szCs w:val="20"/>
                <w:color w:val="auto"/>
                <w:w w:val="98"/>
              </w:rPr>
              <w:t>an “</w:t>
            </w:r>
            <w:r>
              <w:rPr>
                <w:rFonts w:ascii="Times New Roman" w:cs="Times New Roman" w:eastAsia="Times New Roman" w:hAnsi="Times New Roman"/>
                <w:sz w:val="20"/>
                <w:szCs w:val="20"/>
                <w:b w:val="1"/>
                <w:bCs w:val="1"/>
                <w:i w:val="1"/>
                <w:iCs w:val="1"/>
                <w:color w:val="auto"/>
                <w:w w:val="98"/>
              </w:rPr>
              <w:t>Annual Meeting</w:t>
            </w:r>
            <w:r>
              <w:rPr>
                <w:rFonts w:ascii="Times New Roman" w:cs="Times New Roman" w:eastAsia="Times New Roman" w:hAnsi="Times New Roman"/>
                <w:sz w:val="20"/>
                <w:szCs w:val="20"/>
                <w:color w:val="auto"/>
                <w:w w:val="98"/>
              </w:rPr>
              <w:t>”), shall be granted on the date of such Annual Meeting an equity award</w:t>
            </w:r>
          </w:p>
        </w:tc>
      </w:tr>
      <w:tr>
        <w:trPr>
          <w:trHeight w:val="233"/>
        </w:trPr>
        <w:tc>
          <w:tcPr>
            <w:tcW w:w="2700" w:type="dxa"/>
            <w:vAlign w:val="bottom"/>
          </w:tcPr>
          <w:p>
            <w:pPr>
              <w:spacing w:after="0"/>
              <w:rPr>
                <w:sz w:val="20"/>
                <w:szCs w:val="20"/>
                <w:color w:val="auto"/>
              </w:rPr>
            </w:pPr>
          </w:p>
        </w:tc>
        <w:tc>
          <w:tcPr>
            <w:tcW w:w="8340" w:type="dxa"/>
            <w:vAlign w:val="bottom"/>
          </w:tcPr>
          <w:p>
            <w:pPr>
              <w:ind w:left="960"/>
              <w:spacing w:after="0"/>
              <w:rPr>
                <w:sz w:val="20"/>
                <w:szCs w:val="20"/>
                <w:color w:val="auto"/>
              </w:rPr>
            </w:pPr>
            <w:r>
              <w:rPr>
                <w:rFonts w:ascii="Times New Roman" w:cs="Times New Roman" w:eastAsia="Times New Roman" w:hAnsi="Times New Roman"/>
                <w:sz w:val="20"/>
                <w:szCs w:val="20"/>
                <w:color w:val="auto"/>
                <w:w w:val="99"/>
              </w:rPr>
              <w:t>(the “</w:t>
            </w:r>
            <w:r>
              <w:rPr>
                <w:rFonts w:ascii="Times New Roman" w:cs="Times New Roman" w:eastAsia="Times New Roman" w:hAnsi="Times New Roman"/>
                <w:sz w:val="20"/>
                <w:szCs w:val="20"/>
                <w:b w:val="1"/>
                <w:bCs w:val="1"/>
                <w:i w:val="1"/>
                <w:iCs w:val="1"/>
                <w:color w:val="auto"/>
                <w:w w:val="99"/>
              </w:rPr>
              <w:t>Annual Award</w:t>
            </w:r>
            <w:r>
              <w:rPr>
                <w:rFonts w:ascii="Times New Roman" w:cs="Times New Roman" w:eastAsia="Times New Roman" w:hAnsi="Times New Roman"/>
                <w:sz w:val="20"/>
                <w:szCs w:val="20"/>
                <w:color w:val="auto"/>
                <w:w w:val="99"/>
              </w:rPr>
              <w:t>” and, together with the Initial Option, the “</w:t>
            </w:r>
            <w:r>
              <w:rPr>
                <w:rFonts w:ascii="Times New Roman" w:cs="Times New Roman" w:eastAsia="Times New Roman" w:hAnsi="Times New Roman"/>
                <w:sz w:val="20"/>
                <w:szCs w:val="20"/>
                <w:b w:val="1"/>
                <w:bCs w:val="1"/>
                <w:i w:val="1"/>
                <w:iCs w:val="1"/>
                <w:color w:val="auto"/>
                <w:w w:val="99"/>
              </w:rPr>
              <w:t>Director Awards</w:t>
            </w:r>
            <w:r>
              <w:rPr>
                <w:rFonts w:ascii="Times New Roman" w:cs="Times New Roman" w:eastAsia="Times New Roman" w:hAnsi="Times New Roman"/>
                <w:sz w:val="20"/>
                <w:szCs w:val="20"/>
                <w:color w:val="auto"/>
                <w:w w:val="99"/>
              </w:rPr>
              <w:t>”) having a</w:t>
            </w:r>
          </w:p>
        </w:tc>
      </w:tr>
      <w:tr>
        <w:trPr>
          <w:trHeight w:val="239"/>
        </w:trPr>
        <w:tc>
          <w:tcPr>
            <w:tcW w:w="2700" w:type="dxa"/>
            <w:vAlign w:val="bottom"/>
          </w:tcPr>
          <w:p>
            <w:pPr>
              <w:spacing w:after="0"/>
              <w:rPr>
                <w:sz w:val="20"/>
                <w:szCs w:val="20"/>
                <w:color w:val="auto"/>
              </w:rPr>
            </w:pPr>
          </w:p>
        </w:tc>
        <w:tc>
          <w:tcPr>
            <w:tcW w:w="83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Grant Date Fair Value of approximately $350,000 that is comprised of (1) an option to</w:t>
            </w:r>
          </w:p>
        </w:tc>
      </w:tr>
      <w:tr>
        <w:trPr>
          <w:trHeight w:val="247"/>
        </w:trPr>
        <w:tc>
          <w:tcPr>
            <w:tcW w:w="2700" w:type="dxa"/>
            <w:vAlign w:val="bottom"/>
          </w:tcPr>
          <w:p>
            <w:pPr>
              <w:spacing w:after="0"/>
              <w:rPr>
                <w:sz w:val="21"/>
                <w:szCs w:val="21"/>
                <w:color w:val="auto"/>
              </w:rPr>
            </w:pPr>
          </w:p>
        </w:tc>
        <w:tc>
          <w:tcPr>
            <w:tcW w:w="83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purchase the greatest number of whole shares of Common Stock (the “</w:t>
            </w:r>
            <w:r>
              <w:rPr>
                <w:rFonts w:ascii="Times New Roman" w:cs="Times New Roman" w:eastAsia="Times New Roman" w:hAnsi="Times New Roman"/>
                <w:sz w:val="20"/>
                <w:szCs w:val="20"/>
                <w:b w:val="1"/>
                <w:bCs w:val="1"/>
                <w:i w:val="1"/>
                <w:iCs w:val="1"/>
                <w:color w:val="auto"/>
              </w:rPr>
              <w:t>Annual Option</w:t>
            </w:r>
            <w:r>
              <w:rPr>
                <w:rFonts w:ascii="Times New Roman" w:cs="Times New Roman" w:eastAsia="Times New Roman" w:hAnsi="Times New Roman"/>
                <w:sz w:val="20"/>
                <w:szCs w:val="20"/>
                <w:color w:val="auto"/>
              </w:rPr>
              <w:t>”)</w:t>
            </w:r>
          </w:p>
        </w:tc>
      </w:tr>
      <w:tr>
        <w:trPr>
          <w:trHeight w:val="225"/>
        </w:trPr>
        <w:tc>
          <w:tcPr>
            <w:tcW w:w="2700" w:type="dxa"/>
            <w:vAlign w:val="bottom"/>
          </w:tcPr>
          <w:p>
            <w:pPr>
              <w:spacing w:after="0"/>
              <w:rPr>
                <w:sz w:val="19"/>
                <w:szCs w:val="19"/>
                <w:color w:val="auto"/>
              </w:rPr>
            </w:pPr>
          </w:p>
        </w:tc>
        <w:tc>
          <w:tcPr>
            <w:tcW w:w="8340" w:type="dxa"/>
            <w:vAlign w:val="bottom"/>
          </w:tcPr>
          <w:p>
            <w:pPr>
              <w:ind w:left="960"/>
              <w:spacing w:after="0" w:line="226" w:lineRule="exact"/>
              <w:rPr>
                <w:sz w:val="20"/>
                <w:szCs w:val="20"/>
                <w:color w:val="auto"/>
              </w:rPr>
            </w:pPr>
            <w:r>
              <w:rPr>
                <w:rFonts w:ascii="Times New Roman" w:cs="Times New Roman" w:eastAsia="Times New Roman" w:hAnsi="Times New Roman"/>
                <w:sz w:val="20"/>
                <w:szCs w:val="20"/>
                <w:color w:val="auto"/>
                <w:w w:val="98"/>
              </w:rPr>
              <w:t>having a Grant Date Fair Value equal to or less than $227,500 (65% of $350,000), and (2) an</w:t>
            </w:r>
          </w:p>
        </w:tc>
      </w:tr>
      <w:tr>
        <w:trPr>
          <w:trHeight w:val="243"/>
        </w:trPr>
        <w:tc>
          <w:tcPr>
            <w:tcW w:w="2700" w:type="dxa"/>
            <w:vAlign w:val="bottom"/>
          </w:tcPr>
          <w:p>
            <w:pPr>
              <w:spacing w:after="0"/>
              <w:rPr>
                <w:sz w:val="21"/>
                <w:szCs w:val="21"/>
                <w:color w:val="auto"/>
              </w:rPr>
            </w:pPr>
          </w:p>
        </w:tc>
        <w:tc>
          <w:tcPr>
            <w:tcW w:w="83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award of the greatest number of restricted stock units (the “</w:t>
            </w:r>
            <w:r>
              <w:rPr>
                <w:rFonts w:ascii="Times New Roman" w:cs="Times New Roman" w:eastAsia="Times New Roman" w:hAnsi="Times New Roman"/>
                <w:sz w:val="20"/>
                <w:szCs w:val="20"/>
                <w:b w:val="1"/>
                <w:bCs w:val="1"/>
                <w:i w:val="1"/>
                <w:iCs w:val="1"/>
                <w:color w:val="auto"/>
              </w:rPr>
              <w:t>Annual RSU Award</w:t>
            </w:r>
            <w:r>
              <w:rPr>
                <w:rFonts w:ascii="Times New Roman" w:cs="Times New Roman" w:eastAsia="Times New Roman" w:hAnsi="Times New Roman"/>
                <w:sz w:val="20"/>
                <w:szCs w:val="20"/>
                <w:color w:val="auto"/>
              </w:rPr>
              <w:t>”) having a</w:t>
            </w:r>
          </w:p>
        </w:tc>
      </w:tr>
      <w:tr>
        <w:trPr>
          <w:trHeight w:val="233"/>
        </w:trPr>
        <w:tc>
          <w:tcPr>
            <w:tcW w:w="2700" w:type="dxa"/>
            <w:vAlign w:val="bottom"/>
          </w:tcPr>
          <w:p>
            <w:pPr>
              <w:spacing w:after="0"/>
              <w:rPr>
                <w:sz w:val="20"/>
                <w:szCs w:val="20"/>
                <w:color w:val="auto"/>
              </w:rPr>
            </w:pPr>
          </w:p>
        </w:tc>
        <w:tc>
          <w:tcPr>
            <w:tcW w:w="83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 xml:space="preserve">Grant Date Fair Value equal to or less than $122,500 (35% of $350,000);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if a</w:t>
            </w:r>
          </w:p>
        </w:tc>
      </w:tr>
      <w:tr>
        <w:trPr>
          <w:trHeight w:val="243"/>
        </w:trPr>
        <w:tc>
          <w:tcPr>
            <w:tcW w:w="2700" w:type="dxa"/>
            <w:vAlign w:val="bottom"/>
          </w:tcPr>
          <w:p>
            <w:pPr>
              <w:spacing w:after="0"/>
              <w:rPr>
                <w:sz w:val="21"/>
                <w:szCs w:val="21"/>
                <w:color w:val="auto"/>
              </w:rPr>
            </w:pPr>
          </w:p>
        </w:tc>
        <w:tc>
          <w:tcPr>
            <w:tcW w:w="83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Non-Employee Director is first appointed or elected on a date other than the date of an</w:t>
            </w:r>
          </w:p>
        </w:tc>
      </w:tr>
      <w:tr>
        <w:trPr>
          <w:trHeight w:val="243"/>
        </w:trPr>
        <w:tc>
          <w:tcPr>
            <w:tcW w:w="2700" w:type="dxa"/>
            <w:vAlign w:val="bottom"/>
          </w:tcPr>
          <w:p>
            <w:pPr>
              <w:spacing w:after="0"/>
              <w:rPr>
                <w:sz w:val="21"/>
                <w:szCs w:val="21"/>
                <w:color w:val="auto"/>
              </w:rPr>
            </w:pPr>
          </w:p>
        </w:tc>
        <w:tc>
          <w:tcPr>
            <w:tcW w:w="83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Annual Meeting, then such Non-Employee Director shall be granted automatically on such</w:t>
            </w:r>
          </w:p>
        </w:tc>
      </w:tr>
      <w:tr>
        <w:trPr>
          <w:trHeight w:val="229"/>
        </w:trPr>
        <w:tc>
          <w:tcPr>
            <w:tcW w:w="2700" w:type="dxa"/>
            <w:vAlign w:val="bottom"/>
          </w:tcPr>
          <w:p>
            <w:pPr>
              <w:spacing w:after="0"/>
              <w:rPr>
                <w:sz w:val="19"/>
                <w:szCs w:val="19"/>
                <w:color w:val="auto"/>
              </w:rPr>
            </w:pPr>
          </w:p>
        </w:tc>
        <w:tc>
          <w:tcPr>
            <w:tcW w:w="83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date of appointment or election a pro-rated Annual Award based on the number of days</w:t>
            </w:r>
          </w:p>
        </w:tc>
      </w:tr>
      <w:tr>
        <w:trPr>
          <w:trHeight w:val="243"/>
        </w:trPr>
        <w:tc>
          <w:tcPr>
            <w:tcW w:w="2700" w:type="dxa"/>
            <w:vAlign w:val="bottom"/>
          </w:tcPr>
          <w:p>
            <w:pPr>
              <w:spacing w:after="0"/>
              <w:rPr>
                <w:sz w:val="21"/>
                <w:szCs w:val="21"/>
                <w:color w:val="auto"/>
              </w:rPr>
            </w:pPr>
          </w:p>
        </w:tc>
        <w:tc>
          <w:tcPr>
            <w:tcW w:w="83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remaining in the period commencing on the date of the immediately preceding Annual</w:t>
            </w:r>
          </w:p>
        </w:tc>
      </w:tr>
      <w:tr>
        <w:trPr>
          <w:trHeight w:val="229"/>
        </w:trPr>
        <w:tc>
          <w:tcPr>
            <w:tcW w:w="2700" w:type="dxa"/>
            <w:vAlign w:val="bottom"/>
          </w:tcPr>
          <w:p>
            <w:pPr>
              <w:spacing w:after="0"/>
              <w:rPr>
                <w:sz w:val="19"/>
                <w:szCs w:val="19"/>
                <w:color w:val="auto"/>
              </w:rPr>
            </w:pPr>
          </w:p>
        </w:tc>
        <w:tc>
          <w:tcPr>
            <w:tcW w:w="83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Meeting and ending on the estimated date of the Annual Meeting to be held immediately</w:t>
            </w:r>
          </w:p>
        </w:tc>
      </w:tr>
      <w:tr>
        <w:trPr>
          <w:trHeight w:val="258"/>
        </w:trPr>
        <w:tc>
          <w:tcPr>
            <w:tcW w:w="2700" w:type="dxa"/>
            <w:vAlign w:val="bottom"/>
          </w:tcPr>
          <w:p>
            <w:pPr>
              <w:spacing w:after="0"/>
              <w:rPr>
                <w:sz w:val="22"/>
                <w:szCs w:val="22"/>
                <w:color w:val="auto"/>
              </w:rPr>
            </w:pPr>
          </w:p>
        </w:tc>
        <w:tc>
          <w:tcPr>
            <w:tcW w:w="83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following the date of such appointment or election.</w:t>
            </w:r>
          </w:p>
        </w:tc>
      </w:tr>
      <w:tr>
        <w:trPr>
          <w:trHeight w:val="471"/>
        </w:trPr>
        <w:tc>
          <w:tcPr>
            <w:tcW w:w="2700" w:type="dxa"/>
            <w:vAlign w:val="bottom"/>
          </w:tcPr>
          <w:p>
            <w:pPr>
              <w:spacing w:after="0"/>
              <w:rPr>
                <w:sz w:val="24"/>
                <w:szCs w:val="24"/>
                <w:color w:val="auto"/>
              </w:rPr>
            </w:pPr>
          </w:p>
        </w:tc>
        <w:tc>
          <w:tcPr>
            <w:tcW w:w="83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Each Annual Award will be automatically granted on the date of the applicable Annual</w:t>
            </w:r>
          </w:p>
        </w:tc>
      </w:tr>
      <w:tr>
        <w:trPr>
          <w:trHeight w:val="229"/>
        </w:trPr>
        <w:tc>
          <w:tcPr>
            <w:tcW w:w="2700" w:type="dxa"/>
            <w:vAlign w:val="bottom"/>
          </w:tcPr>
          <w:p>
            <w:pPr>
              <w:spacing w:after="0"/>
              <w:rPr>
                <w:sz w:val="19"/>
                <w:szCs w:val="19"/>
                <w:color w:val="auto"/>
              </w:rPr>
            </w:pPr>
          </w:p>
        </w:tc>
        <w:tc>
          <w:tcPr>
            <w:tcW w:w="83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Meeting (or date of appointment or election in the case of a Non-Employee Director who is</w:t>
            </w:r>
          </w:p>
        </w:tc>
      </w:tr>
      <w:tr>
        <w:trPr>
          <w:trHeight w:val="243"/>
        </w:trPr>
        <w:tc>
          <w:tcPr>
            <w:tcW w:w="2700" w:type="dxa"/>
            <w:vAlign w:val="bottom"/>
          </w:tcPr>
          <w:p>
            <w:pPr>
              <w:spacing w:after="0"/>
              <w:rPr>
                <w:sz w:val="21"/>
                <w:szCs w:val="21"/>
                <w:color w:val="auto"/>
              </w:rPr>
            </w:pPr>
          </w:p>
        </w:tc>
        <w:tc>
          <w:tcPr>
            <w:tcW w:w="8340" w:type="dxa"/>
            <w:vAlign w:val="bottom"/>
          </w:tcPr>
          <w:p>
            <w:pPr>
              <w:ind w:left="960"/>
              <w:spacing w:after="0"/>
              <w:rPr>
                <w:sz w:val="20"/>
                <w:szCs w:val="20"/>
                <w:color w:val="auto"/>
              </w:rPr>
            </w:pPr>
            <w:r>
              <w:rPr>
                <w:rFonts w:ascii="Times New Roman" w:cs="Times New Roman" w:eastAsia="Times New Roman" w:hAnsi="Times New Roman"/>
                <w:sz w:val="20"/>
                <w:szCs w:val="20"/>
                <w:color w:val="auto"/>
                <w:w w:val="98"/>
              </w:rPr>
              <w:t>appointed or elected on a date other than the date of an Annual Meeting), and will vest in full</w:t>
            </w:r>
          </w:p>
        </w:tc>
      </w:tr>
      <w:tr>
        <w:trPr>
          <w:trHeight w:val="229"/>
        </w:trPr>
        <w:tc>
          <w:tcPr>
            <w:tcW w:w="2700" w:type="dxa"/>
            <w:vAlign w:val="bottom"/>
          </w:tcPr>
          <w:p>
            <w:pPr>
              <w:spacing w:after="0"/>
              <w:rPr>
                <w:sz w:val="19"/>
                <w:szCs w:val="19"/>
                <w:color w:val="auto"/>
              </w:rPr>
            </w:pPr>
          </w:p>
        </w:tc>
        <w:tc>
          <w:tcPr>
            <w:tcW w:w="83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on the earlier of (i) the first anniversary of the grant date and (ii) immediately before the</w:t>
            </w:r>
          </w:p>
        </w:tc>
      </w:tr>
      <w:tr>
        <w:trPr>
          <w:trHeight w:val="243"/>
        </w:trPr>
        <w:tc>
          <w:tcPr>
            <w:tcW w:w="2700" w:type="dxa"/>
            <w:vAlign w:val="bottom"/>
          </w:tcPr>
          <w:p>
            <w:pPr>
              <w:spacing w:after="0"/>
              <w:rPr>
                <w:sz w:val="21"/>
                <w:szCs w:val="21"/>
                <w:color w:val="auto"/>
              </w:rPr>
            </w:pPr>
          </w:p>
        </w:tc>
        <w:tc>
          <w:tcPr>
            <w:tcW w:w="83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Annual Meeting following the grant date, subject to the Non-Employee Director continuing</w:t>
            </w:r>
          </w:p>
        </w:tc>
      </w:tr>
      <w:tr>
        <w:trPr>
          <w:trHeight w:val="258"/>
        </w:trPr>
        <w:tc>
          <w:tcPr>
            <w:tcW w:w="2700" w:type="dxa"/>
            <w:vAlign w:val="bottom"/>
          </w:tcPr>
          <w:p>
            <w:pPr>
              <w:spacing w:after="0"/>
              <w:rPr>
                <w:sz w:val="22"/>
                <w:szCs w:val="22"/>
                <w:color w:val="auto"/>
              </w:rPr>
            </w:pPr>
          </w:p>
        </w:tc>
        <w:tc>
          <w:tcPr>
            <w:tcW w:w="83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in service on the Board through such vesting date.</w:t>
            </w:r>
          </w:p>
        </w:tc>
      </w:tr>
    </w:tbl>
    <w:p>
      <w:pPr>
        <w:spacing w:after="0" w:line="336"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Except as otherwise determined by the Board, no portion of a Director Award which is unvested at the time of a Non-Employee Director’s termination of Service on the Board shall become vested and exercisable thereafter.</w:t>
      </w:r>
    </w:p>
    <w:p>
      <w:pPr>
        <w:spacing w:after="0" w:line="2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Directors who are Employees who subsequently terminate their employment with the Company and any Subsidiary and remain Directors will not receive an Initial Option, but to the extent that they are otherwise eligible, will be eligible to receive, after termination from employment with the Company and any Subsidiary, Annual Awards as described above.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Election to Defer Issuance</w:t>
      </w:r>
    </w:p>
    <w:p>
      <w:pPr>
        <w:sectPr>
          <w:pgSz w:w="11900" w:h="16838" w:orient="portrait"/>
          <w:cols w:equalWidth="0" w:num="1">
            <w:col w:w="11220"/>
          </w:cols>
          <w:pgMar w:left="320" w:top="1440" w:right="359" w:bottom="1440" w:gutter="0" w:footer="0" w:header="0"/>
        </w:sectPr>
      </w:pPr>
    </w:p>
    <w:bookmarkStart w:id="6" w:name="page7"/>
    <w:bookmarkEnd w:id="6"/>
    <w:p>
      <w:pPr>
        <w:spacing w:after="0" w:line="27" w:lineRule="exact"/>
        <w:rPr>
          <w:sz w:val="20"/>
          <w:szCs w:val="20"/>
          <w:color w:val="auto"/>
        </w:rPr>
      </w:pPr>
    </w:p>
    <w:p>
      <w:pPr>
        <w:spacing w:after="0"/>
        <w:tabs>
          <w:tab w:leader="none" w:pos="3640" w:val="left"/>
        </w:tabs>
        <w:rPr>
          <w:sz w:val="20"/>
          <w:szCs w:val="20"/>
          <w:color w:val="auto"/>
        </w:rPr>
      </w:pPr>
      <w:r>
        <w:rPr>
          <w:rFonts w:ascii="Times New Roman" w:cs="Times New Roman" w:eastAsia="Times New Roman" w:hAnsi="Times New Roman"/>
          <w:sz w:val="20"/>
          <w:szCs w:val="20"/>
          <w:color w:val="auto"/>
        </w:rPr>
        <w:t>General</w:t>
      </w:r>
      <w:r>
        <w:rPr>
          <w:sz w:val="20"/>
          <w:szCs w:val="20"/>
          <w:color w:val="auto"/>
        </w:rPr>
        <w:tab/>
      </w:r>
      <w:r>
        <w:rPr>
          <w:rFonts w:ascii="Times New Roman" w:cs="Times New Roman" w:eastAsia="Times New Roman" w:hAnsi="Times New Roman"/>
          <w:sz w:val="20"/>
          <w:szCs w:val="20"/>
          <w:color w:val="auto"/>
        </w:rPr>
        <w:t>The Board or the Compensation Committee may, in its discretion, provide each Non-</w:t>
      </w:r>
    </w:p>
    <w:p>
      <w:pPr>
        <w:spacing w:after="0" w:line="3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color w:val="auto"/>
        </w:rPr>
        <w:t>Employee Director with the opportunity to defer the issuance of the shares underlying RSUs</w:t>
      </w:r>
    </w:p>
    <w:p>
      <w:pPr>
        <w:ind w:left="3660"/>
        <w:spacing w:after="0"/>
        <w:rPr>
          <w:sz w:val="20"/>
          <w:szCs w:val="20"/>
          <w:color w:val="auto"/>
        </w:rPr>
      </w:pPr>
      <w:r>
        <w:rPr>
          <w:rFonts w:ascii="Times New Roman" w:cs="Times New Roman" w:eastAsia="Times New Roman" w:hAnsi="Times New Roman"/>
          <w:sz w:val="20"/>
          <w:szCs w:val="20"/>
          <w:color w:val="auto"/>
        </w:rPr>
        <w:t>granted under this Program, including Annual RSU Awards, that would otherwise be issued</w:t>
      </w:r>
    </w:p>
    <w:p>
      <w:pPr>
        <w:spacing w:after="0" w:line="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color w:val="auto"/>
        </w:rPr>
        <w:t>to the Non-Employee Director in connection with the vesting or grant of the RSUs until the</w:t>
      </w:r>
    </w:p>
    <w:p>
      <w:pPr>
        <w:spacing w:after="0" w:line="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color w:val="auto"/>
        </w:rPr>
        <w:t>earliest of a fixed date properly elected by the Non-Employee Director, the Non-Employee</w:t>
      </w:r>
    </w:p>
    <w:p>
      <w:pPr>
        <w:spacing w:after="0" w:line="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color w:val="auto"/>
        </w:rPr>
        <w:t>Director’s termination of Service or a Change in Control. Any such deferral election</w:t>
      </w:r>
    </w:p>
    <w:p>
      <w:pPr>
        <w:spacing w:after="0" w:line="1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Deferral Election</w:t>
      </w:r>
      <w:r>
        <w:rPr>
          <w:rFonts w:ascii="Times New Roman" w:cs="Times New Roman" w:eastAsia="Times New Roman" w:hAnsi="Times New Roman"/>
          <w:sz w:val="20"/>
          <w:szCs w:val="20"/>
          <w:color w:val="auto"/>
        </w:rPr>
        <w:t>”) shall be subject to such rules, conditions and procedures as shall be</w:t>
      </w:r>
    </w:p>
    <w:p>
      <w:pPr>
        <w:spacing w:after="0" w:line="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9"/>
          <w:szCs w:val="19"/>
          <w:color w:val="auto"/>
        </w:rPr>
        <w:t>determined by the Board or the Compensation Committee, in its sole discretion, which rules,</w:t>
      </w:r>
    </w:p>
    <w:p>
      <w:pPr>
        <w:spacing w:after="0" w:line="1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9"/>
          <w:szCs w:val="19"/>
          <w:color w:val="auto"/>
        </w:rPr>
        <w:t>conditions and procedures shall at all times comply with the requirements of Section 409A of</w:t>
      </w:r>
    </w:p>
    <w:p>
      <w:pPr>
        <w:spacing w:after="0" w:line="1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color w:val="auto"/>
        </w:rPr>
        <w:t>the Code, unless otherwise specifically determined by the Board or the Compensation</w:t>
      </w:r>
    </w:p>
    <w:p>
      <w:pPr>
        <w:spacing w:after="0" w:line="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color w:val="auto"/>
        </w:rPr>
        <w:t>Committee. If an individual elects to defer the delivery of the shares underlying RSUs</w:t>
      </w:r>
    </w:p>
    <w:p>
      <w:pPr>
        <w:spacing w:after="0" w:line="1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color w:val="auto"/>
        </w:rPr>
        <w:t>granted under this Program, settlement of the deferred RSUs shall be made in accordance</w:t>
      </w:r>
    </w:p>
    <w:p>
      <w:pPr>
        <w:spacing w:after="0" w:line="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color w:val="auto"/>
        </w:rPr>
        <w:t>with the terms of the Deferral Election.</w:t>
      </w:r>
    </w:p>
    <w:p>
      <w:pPr>
        <w:sectPr>
          <w:pgSz w:w="11900" w:h="16838" w:orient="portrait"/>
          <w:cols w:equalWidth="0" w:num="1">
            <w:col w:w="11060"/>
          </w:cols>
          <w:pgMar w:left="400" w:top="1440" w:right="439" w:bottom="1440" w:gutter="0" w:footer="0" w:header="0"/>
        </w:sectPr>
      </w:pPr>
    </w:p>
    <w:bookmarkStart w:id="7" w:name="page8"/>
    <w:bookmarkEnd w:id="7"/>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243"/>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Election Method</w:t>
            </w:r>
          </w:p>
        </w:tc>
        <w:tc>
          <w:tcPr>
            <w:tcW w:w="8580" w:type="dxa"/>
            <w:vAlign w:val="bottom"/>
            <w:gridSpan w:val="4"/>
          </w:tcPr>
          <w:p>
            <w:pPr>
              <w:ind w:left="1160"/>
              <w:spacing w:after="0"/>
              <w:rPr>
                <w:sz w:val="20"/>
                <w:szCs w:val="20"/>
                <w:color w:val="auto"/>
              </w:rPr>
            </w:pPr>
            <w:r>
              <w:rPr>
                <w:rFonts w:ascii="Times New Roman" w:cs="Times New Roman" w:eastAsia="Times New Roman" w:hAnsi="Times New Roman"/>
                <w:sz w:val="20"/>
                <w:szCs w:val="20"/>
                <w:color w:val="auto"/>
              </w:rPr>
              <w:t>Each Deferral Election must be submitted to the Company in the form and manner specified</w:t>
            </w:r>
          </w:p>
        </w:tc>
      </w:tr>
      <w:tr>
        <w:trPr>
          <w:trHeight w:val="229"/>
        </w:trPr>
        <w:tc>
          <w:tcPr>
            <w:tcW w:w="2500" w:type="dxa"/>
            <w:vAlign w:val="bottom"/>
          </w:tcPr>
          <w:p>
            <w:pPr>
              <w:spacing w:after="0"/>
              <w:rPr>
                <w:sz w:val="19"/>
                <w:szCs w:val="19"/>
                <w:color w:val="auto"/>
              </w:rPr>
            </w:pPr>
          </w:p>
        </w:tc>
        <w:tc>
          <w:tcPr>
            <w:tcW w:w="8580" w:type="dxa"/>
            <w:vAlign w:val="bottom"/>
            <w:gridSpan w:val="4"/>
          </w:tcPr>
          <w:p>
            <w:pPr>
              <w:ind w:left="1160"/>
              <w:spacing w:after="0"/>
              <w:rPr>
                <w:sz w:val="20"/>
                <w:szCs w:val="20"/>
                <w:color w:val="auto"/>
              </w:rPr>
            </w:pPr>
            <w:r>
              <w:rPr>
                <w:rFonts w:ascii="Times New Roman" w:cs="Times New Roman" w:eastAsia="Times New Roman" w:hAnsi="Times New Roman"/>
                <w:sz w:val="20"/>
                <w:szCs w:val="20"/>
                <w:color w:val="auto"/>
              </w:rPr>
              <w:t>by the Board or its Compensation Committee. Deferral Elections must comply with the</w:t>
            </w:r>
          </w:p>
        </w:tc>
      </w:tr>
      <w:tr>
        <w:trPr>
          <w:trHeight w:val="258"/>
        </w:trPr>
        <w:tc>
          <w:tcPr>
            <w:tcW w:w="2500" w:type="dxa"/>
            <w:vAlign w:val="bottom"/>
          </w:tcPr>
          <w:p>
            <w:pPr>
              <w:spacing w:after="0"/>
              <w:rPr>
                <w:sz w:val="22"/>
                <w:szCs w:val="22"/>
                <w:color w:val="auto"/>
              </w:rPr>
            </w:pPr>
          </w:p>
        </w:tc>
        <w:tc>
          <w:tcPr>
            <w:tcW w:w="8580" w:type="dxa"/>
            <w:vAlign w:val="bottom"/>
            <w:gridSpan w:val="4"/>
          </w:tcPr>
          <w:p>
            <w:pPr>
              <w:ind w:left="1160"/>
              <w:spacing w:after="0"/>
              <w:rPr>
                <w:sz w:val="20"/>
                <w:szCs w:val="20"/>
                <w:color w:val="auto"/>
              </w:rPr>
            </w:pPr>
            <w:r>
              <w:rPr>
                <w:rFonts w:ascii="Times New Roman" w:cs="Times New Roman" w:eastAsia="Times New Roman" w:hAnsi="Times New Roman"/>
                <w:sz w:val="20"/>
                <w:szCs w:val="20"/>
                <w:color w:val="auto"/>
              </w:rPr>
              <w:t>following timing requirements:</w:t>
            </w:r>
          </w:p>
        </w:tc>
      </w:tr>
      <w:tr>
        <w:trPr>
          <w:trHeight w:val="439"/>
        </w:trPr>
        <w:tc>
          <w:tcPr>
            <w:tcW w:w="2500" w:type="dxa"/>
            <w:vAlign w:val="bottom"/>
          </w:tcPr>
          <w:p>
            <w:pPr>
              <w:spacing w:after="0"/>
              <w:rPr>
                <w:sz w:val="24"/>
                <w:szCs w:val="24"/>
                <w:color w:val="auto"/>
              </w:rPr>
            </w:pPr>
          </w:p>
        </w:tc>
        <w:tc>
          <w:tcPr>
            <w:tcW w:w="8580" w:type="dxa"/>
            <w:vAlign w:val="bottom"/>
            <w:gridSpan w:val="4"/>
          </w:tcPr>
          <w:p>
            <w:pPr>
              <w:ind w:left="1500"/>
              <w:spacing w:after="0"/>
              <w:rPr>
                <w:sz w:val="20"/>
                <w:szCs w:val="20"/>
                <w:color w:val="auto"/>
              </w:rPr>
            </w:pPr>
            <w:r>
              <w:rPr>
                <w:rFonts w:ascii="Times New Roman" w:cs="Times New Roman" w:eastAsia="Times New Roman" w:hAnsi="Times New Roman"/>
                <w:sz w:val="20"/>
                <w:szCs w:val="20"/>
                <w:color w:val="auto"/>
              </w:rPr>
              <w:t>•   Initial Deferral Election. Each individual who first becomes a Non-Employee</w:t>
            </w:r>
          </w:p>
        </w:tc>
      </w:tr>
      <w:tr>
        <w:trPr>
          <w:trHeight w:val="20"/>
        </w:trPr>
        <w:tc>
          <w:tcPr>
            <w:tcW w:w="2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41"/>
        </w:trPr>
        <w:tc>
          <w:tcPr>
            <w:tcW w:w="2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7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w w:val="99"/>
              </w:rPr>
              <w:t>Director may make a Deferral Election with respect to the Non-Employee Director’s</w:t>
            </w:r>
          </w:p>
        </w:tc>
      </w:tr>
      <w:tr>
        <w:trPr>
          <w:trHeight w:val="239"/>
        </w:trPr>
        <w:tc>
          <w:tcPr>
            <w:tcW w:w="2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7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Annual RSU Award(s) to be granted in the same calendar year as such individual</w:t>
            </w:r>
          </w:p>
        </w:tc>
      </w:tr>
      <w:tr>
        <w:trPr>
          <w:trHeight w:val="233"/>
        </w:trPr>
        <w:tc>
          <w:tcPr>
            <w:tcW w:w="2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7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w w:val="99"/>
              </w:rPr>
              <w:t>first becomes a Non-Employee Director (the “</w:t>
            </w:r>
            <w:r>
              <w:rPr>
                <w:rFonts w:ascii="Times New Roman" w:cs="Times New Roman" w:eastAsia="Times New Roman" w:hAnsi="Times New Roman"/>
                <w:sz w:val="20"/>
                <w:szCs w:val="20"/>
                <w:b w:val="1"/>
                <w:bCs w:val="1"/>
                <w:i w:val="1"/>
                <w:iCs w:val="1"/>
                <w:color w:val="auto"/>
                <w:w w:val="99"/>
              </w:rPr>
              <w:t>Initial Deferral Election</w:t>
            </w:r>
            <w:r>
              <w:rPr>
                <w:rFonts w:ascii="Times New Roman" w:cs="Times New Roman" w:eastAsia="Times New Roman" w:hAnsi="Times New Roman"/>
                <w:sz w:val="20"/>
                <w:szCs w:val="20"/>
                <w:color w:val="auto"/>
                <w:w w:val="99"/>
              </w:rPr>
              <w:t>”). The Initial</w:t>
            </w:r>
          </w:p>
        </w:tc>
      </w:tr>
      <w:tr>
        <w:trPr>
          <w:trHeight w:val="239"/>
        </w:trPr>
        <w:tc>
          <w:tcPr>
            <w:tcW w:w="2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7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Deferral Election must be submitted to the Company before the date that the</w:t>
            </w:r>
          </w:p>
        </w:tc>
      </w:tr>
      <w:tr>
        <w:trPr>
          <w:trHeight w:val="233"/>
        </w:trPr>
        <w:tc>
          <w:tcPr>
            <w:tcW w:w="2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7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w w:val="98"/>
              </w:rPr>
              <w:t>individual first becomes a Non-Employee Director (the “</w:t>
            </w:r>
            <w:r>
              <w:rPr>
                <w:rFonts w:ascii="Times New Roman" w:cs="Times New Roman" w:eastAsia="Times New Roman" w:hAnsi="Times New Roman"/>
                <w:sz w:val="20"/>
                <w:szCs w:val="20"/>
                <w:b w:val="1"/>
                <w:bCs w:val="1"/>
                <w:i w:val="1"/>
                <w:iCs w:val="1"/>
                <w:color w:val="auto"/>
                <w:w w:val="98"/>
              </w:rPr>
              <w:t>Initial Election Deadline</w:t>
            </w:r>
            <w:r>
              <w:rPr>
                <w:rFonts w:ascii="Times New Roman" w:cs="Times New Roman" w:eastAsia="Times New Roman" w:hAnsi="Times New Roman"/>
                <w:sz w:val="20"/>
                <w:szCs w:val="20"/>
                <w:color w:val="auto"/>
                <w:w w:val="98"/>
              </w:rPr>
              <w:t>”),</w:t>
            </w:r>
          </w:p>
        </w:tc>
      </w:tr>
      <w:tr>
        <w:trPr>
          <w:trHeight w:val="243"/>
        </w:trPr>
        <w:tc>
          <w:tcPr>
            <w:tcW w:w="25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67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w w:val="98"/>
              </w:rPr>
              <w:t>and such Initial Deferral Election shall become final and irrevocable as of such Initial</w:t>
            </w:r>
          </w:p>
        </w:tc>
      </w:tr>
      <w:tr>
        <w:trPr>
          <w:trHeight w:val="258"/>
        </w:trPr>
        <w:tc>
          <w:tcPr>
            <w:tcW w:w="25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67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Election Deadline.</w:t>
            </w:r>
          </w:p>
        </w:tc>
      </w:tr>
      <w:tr>
        <w:trPr>
          <w:trHeight w:val="439"/>
        </w:trPr>
        <w:tc>
          <w:tcPr>
            <w:tcW w:w="2500" w:type="dxa"/>
            <w:vAlign w:val="bottom"/>
          </w:tcPr>
          <w:p>
            <w:pPr>
              <w:spacing w:after="0"/>
              <w:rPr>
                <w:sz w:val="24"/>
                <w:szCs w:val="24"/>
                <w:color w:val="auto"/>
              </w:rPr>
            </w:pPr>
          </w:p>
        </w:tc>
        <w:tc>
          <w:tcPr>
            <w:tcW w:w="8580" w:type="dxa"/>
            <w:vAlign w:val="bottom"/>
            <w:gridSpan w:val="4"/>
          </w:tcPr>
          <w:p>
            <w:pPr>
              <w:ind w:left="1500"/>
              <w:spacing w:after="0"/>
              <w:rPr>
                <w:sz w:val="20"/>
                <w:szCs w:val="20"/>
                <w:color w:val="auto"/>
              </w:rPr>
            </w:pPr>
            <w:r>
              <w:rPr>
                <w:rFonts w:ascii="Times New Roman" w:cs="Times New Roman" w:eastAsia="Times New Roman" w:hAnsi="Times New Roman"/>
                <w:sz w:val="20"/>
                <w:szCs w:val="20"/>
                <w:color w:val="auto"/>
              </w:rPr>
              <w:t>•   Annual Deferral Election. No later than December 31 of each calendar year, or such</w:t>
            </w:r>
          </w:p>
        </w:tc>
      </w:tr>
      <w:tr>
        <w:trPr>
          <w:trHeight w:val="20"/>
        </w:trPr>
        <w:tc>
          <w:tcPr>
            <w:tcW w:w="2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37"/>
        </w:trPr>
        <w:tc>
          <w:tcPr>
            <w:tcW w:w="2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7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w w:val="98"/>
              </w:rPr>
              <w:t>earlier deadline as may be established by the Board or the Compensation Committee,</w:t>
            </w:r>
          </w:p>
        </w:tc>
      </w:tr>
      <w:tr>
        <w:trPr>
          <w:trHeight w:val="233"/>
        </w:trPr>
        <w:tc>
          <w:tcPr>
            <w:tcW w:w="2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7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in its discretion (the “</w:t>
            </w:r>
            <w:r>
              <w:rPr>
                <w:rFonts w:ascii="Times New Roman" w:cs="Times New Roman" w:eastAsia="Times New Roman" w:hAnsi="Times New Roman"/>
                <w:sz w:val="20"/>
                <w:szCs w:val="20"/>
                <w:b w:val="1"/>
                <w:bCs w:val="1"/>
                <w:i w:val="1"/>
                <w:iCs w:val="1"/>
                <w:color w:val="auto"/>
              </w:rPr>
              <w:t>Annual Election Deadline</w:t>
            </w:r>
            <w:r>
              <w:rPr>
                <w:rFonts w:ascii="Times New Roman" w:cs="Times New Roman" w:eastAsia="Times New Roman" w:hAnsi="Times New Roman"/>
                <w:sz w:val="20"/>
                <w:szCs w:val="20"/>
                <w:color w:val="auto"/>
              </w:rPr>
              <w:t>”), each individual who is a Non-</w:t>
            </w:r>
          </w:p>
        </w:tc>
      </w:tr>
      <w:tr>
        <w:trPr>
          <w:trHeight w:val="243"/>
        </w:trPr>
        <w:tc>
          <w:tcPr>
            <w:tcW w:w="25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67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Employee Director as of immediately before the Annual Election Deadline may</w:t>
            </w:r>
          </w:p>
        </w:tc>
      </w:tr>
      <w:tr>
        <w:trPr>
          <w:trHeight w:val="239"/>
        </w:trPr>
        <w:tc>
          <w:tcPr>
            <w:tcW w:w="2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7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w w:val="99"/>
              </w:rPr>
              <w:t>make a Deferral Election with respect to the Annual RSU Award to be granted in the</w:t>
            </w:r>
          </w:p>
        </w:tc>
      </w:tr>
      <w:tr>
        <w:trPr>
          <w:trHeight w:val="234"/>
        </w:trPr>
        <w:tc>
          <w:tcPr>
            <w:tcW w:w="2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7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following calendar year (the “</w:t>
            </w:r>
            <w:r>
              <w:rPr>
                <w:rFonts w:ascii="Times New Roman" w:cs="Times New Roman" w:eastAsia="Times New Roman" w:hAnsi="Times New Roman"/>
                <w:sz w:val="20"/>
                <w:szCs w:val="20"/>
                <w:b w:val="1"/>
                <w:bCs w:val="1"/>
                <w:i w:val="1"/>
                <w:iCs w:val="1"/>
                <w:color w:val="auto"/>
              </w:rPr>
              <w:t>Annual Deferral Election</w:t>
            </w:r>
            <w:r>
              <w:rPr>
                <w:rFonts w:ascii="Times New Roman" w:cs="Times New Roman" w:eastAsia="Times New Roman" w:hAnsi="Times New Roman"/>
                <w:sz w:val="20"/>
                <w:szCs w:val="20"/>
                <w:color w:val="auto"/>
              </w:rPr>
              <w:t>”). The Annual Deferral</w:t>
            </w:r>
          </w:p>
        </w:tc>
      </w:tr>
      <w:tr>
        <w:trPr>
          <w:trHeight w:val="243"/>
        </w:trPr>
        <w:tc>
          <w:tcPr>
            <w:tcW w:w="25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67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Election must be submitted to the Company on or before the applicable Annual</w:t>
            </w:r>
          </w:p>
        </w:tc>
      </w:tr>
      <w:tr>
        <w:trPr>
          <w:trHeight w:val="230"/>
        </w:trPr>
        <w:tc>
          <w:tcPr>
            <w:tcW w:w="25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7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w w:val="98"/>
              </w:rPr>
              <w:t>Election Deadline and shall become final and irrevocable for the subsequent calendar</w:t>
            </w:r>
          </w:p>
        </w:tc>
      </w:tr>
      <w:tr>
        <w:trPr>
          <w:trHeight w:val="258"/>
        </w:trPr>
        <w:tc>
          <w:tcPr>
            <w:tcW w:w="25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67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year as of the applicable Annual Election Deadline.</w:t>
            </w:r>
          </w:p>
        </w:tc>
      </w:tr>
    </w:tbl>
    <w:p>
      <w:pPr>
        <w:spacing w:after="0" w:line="349" w:lineRule="exact"/>
        <w:rPr>
          <w:sz w:val="20"/>
          <w:szCs w:val="20"/>
          <w:color w:val="auto"/>
        </w:rPr>
      </w:pPr>
    </w:p>
    <w:p>
      <w:pPr>
        <w:ind w:right="600"/>
        <w:spacing w:after="0" w:line="269" w:lineRule="auto"/>
        <w:rPr>
          <w:sz w:val="20"/>
          <w:szCs w:val="20"/>
          <w:color w:val="auto"/>
        </w:rPr>
      </w:pPr>
      <w:r>
        <w:rPr>
          <w:rFonts w:ascii="Times New Roman" w:cs="Times New Roman" w:eastAsia="Times New Roman" w:hAnsi="Times New Roman"/>
          <w:sz w:val="20"/>
          <w:szCs w:val="20"/>
          <w:color w:val="auto"/>
        </w:rPr>
        <w:t>No portion of a Director Award which is unvested at the time of a Non-Employee Director’s termination of Service on the Board shall become vested and exercisable thereafter.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 in Control</w:t>
      </w:r>
    </w:p>
    <w:p>
      <w:pPr>
        <w:spacing w:after="0" w:line="247"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0"/>
          <w:szCs w:val="20"/>
          <w:color w:val="auto"/>
        </w:rPr>
        <w:t>Upon a Corporate Transaction of the Company, all outstanding equity awards granted under the Plan and any other equity incentive plan maintained by the Company that are held by a Non-Employee Director shall become fully vested and/or exercisable effective as of immediately prior to the closing of such Change in Control, irrespective of any other provisions of the Non-Employee Director’s Award Agreement.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Reimbursements</w:t>
      </w:r>
    </w:p>
    <w:p>
      <w:pPr>
        <w:spacing w:after="0" w:line="24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The Company shall reimburse each Non-Employee Director for all reasonable, documented, out-of-pocket travel and other business expenses incurred by such Non-Employee Director in the performance of such director’s duties to the Company in accordance with the Company’s applicable expense reimbursement policies and procedures as in effect from time to time.</w:t>
      </w:r>
    </w:p>
    <w:p>
      <w:pPr>
        <w:sectPr>
          <w:pgSz w:w="11900" w:h="16838" w:orient="portrait"/>
          <w:cols w:equalWidth="0" w:num="1">
            <w:col w:w="11220"/>
          </w:cols>
          <w:pgMar w:left="320" w:top="1440" w:right="359" w:bottom="1440" w:gutter="0" w:footer="0" w:header="0"/>
        </w:sectPr>
      </w:pPr>
    </w:p>
    <w:bookmarkStart w:id="8" w:name="page9"/>
    <w:bookmarkEnd w:id="8"/>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Miscellaneous</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other provisions of the Plan shall apply to the Director Awards granted automatically under this Program, except to the extent such other provisions are inconsistent with this Program. All applicable terms of the Plan apply to this Program as if fully set forth herein, and all grants of Director Awards hereby are subject in all respects to the terms of the Plan. The grant of Director Awards under this Program shall be made solely by and subject to the terms set forth in an Award Agreement in a form to be approved by the Board and duly executed by an executive officer of the Company.</w:t>
      </w: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 * * * *</w:t>
      </w:r>
    </w:p>
    <w:sectPr>
      <w:pgSz w:w="11900" w:h="16838" w:orient="portrait"/>
      <w:cols w:equalWidth="0" w:num="1">
        <w:col w:w="11180"/>
      </w:cols>
      <w:pgMar w:left="3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2026-06-09T15:10:05Z</dcterms:created>
  <dcterms:modified xsi:type="dcterms:W3CDTF">2026-06-09T15:10:05Z</dcterms:modified>
</cp:coreProperties>
</file>